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FA" w:rsidRPr="001072FA" w:rsidRDefault="001072FA" w:rsidP="001072FA">
      <w:pPr>
        <w:ind w:left="2832" w:firstLine="708"/>
        <w:rPr>
          <w:rFonts w:ascii="Open Sans" w:hAnsi="Open Sans"/>
          <w:b/>
          <w:szCs w:val="24"/>
        </w:rPr>
      </w:pPr>
      <w:r>
        <w:rPr>
          <w:rFonts w:ascii="Open Sans" w:hAnsi="Open Sans"/>
          <w:b/>
          <w:szCs w:val="24"/>
        </w:rPr>
        <w:t xml:space="preserve">   </w:t>
      </w:r>
      <w:r w:rsidRPr="001072FA">
        <w:rPr>
          <w:rFonts w:ascii="Open Sans" w:hAnsi="Open Sans"/>
          <w:b/>
          <w:szCs w:val="24"/>
        </w:rPr>
        <w:t>Calificación de los ceses laborales por covid-19</w:t>
      </w:r>
    </w:p>
    <w:p w:rsidR="001072FA" w:rsidRPr="001072FA" w:rsidRDefault="001072FA" w:rsidP="00020280">
      <w:pPr>
        <w:ind w:firstLine="0"/>
        <w:rPr>
          <w:rFonts w:ascii="Open Sans" w:hAnsi="Open Sans"/>
          <w:i/>
          <w:sz w:val="22"/>
          <w:szCs w:val="22"/>
        </w:rPr>
      </w:pPr>
      <w:r>
        <w:rPr>
          <w:rFonts w:ascii="Open Sans" w:hAnsi="Open Sans"/>
          <w:szCs w:val="24"/>
        </w:rPr>
        <w:tab/>
      </w:r>
      <w:r>
        <w:rPr>
          <w:rFonts w:ascii="Open Sans" w:hAnsi="Open Sans"/>
          <w:szCs w:val="24"/>
        </w:rPr>
        <w:tab/>
      </w:r>
      <w:r>
        <w:rPr>
          <w:rFonts w:ascii="Open Sans" w:hAnsi="Open Sans"/>
          <w:szCs w:val="24"/>
        </w:rPr>
        <w:tab/>
      </w:r>
      <w:r>
        <w:rPr>
          <w:rFonts w:ascii="Open Sans" w:hAnsi="Open Sans"/>
          <w:szCs w:val="24"/>
        </w:rPr>
        <w:tab/>
      </w:r>
      <w:r>
        <w:rPr>
          <w:rFonts w:ascii="Open Sans" w:hAnsi="Open Sans"/>
          <w:szCs w:val="24"/>
        </w:rPr>
        <w:tab/>
      </w:r>
      <w:r>
        <w:rPr>
          <w:rFonts w:ascii="Open Sans" w:hAnsi="Open Sans"/>
          <w:szCs w:val="24"/>
        </w:rPr>
        <w:tab/>
      </w:r>
      <w:r>
        <w:rPr>
          <w:rFonts w:ascii="Open Sans" w:hAnsi="Open Sans"/>
          <w:szCs w:val="24"/>
        </w:rPr>
        <w:tab/>
      </w:r>
      <w:r>
        <w:rPr>
          <w:rFonts w:ascii="Open Sans" w:hAnsi="Open Sans"/>
          <w:szCs w:val="24"/>
        </w:rPr>
        <w:tab/>
      </w:r>
      <w:r w:rsidRPr="001072FA">
        <w:rPr>
          <w:rFonts w:ascii="Open Sans" w:hAnsi="Open Sans"/>
          <w:i/>
          <w:sz w:val="22"/>
          <w:szCs w:val="22"/>
        </w:rPr>
        <w:t xml:space="preserve">       </w:t>
      </w:r>
      <w:r>
        <w:rPr>
          <w:rFonts w:ascii="Open Sans" w:hAnsi="Open Sans"/>
          <w:i/>
          <w:sz w:val="22"/>
          <w:szCs w:val="22"/>
        </w:rPr>
        <w:t xml:space="preserve">   </w:t>
      </w:r>
      <w:r w:rsidRPr="001072FA">
        <w:rPr>
          <w:rFonts w:ascii="Open Sans" w:hAnsi="Open Sans"/>
          <w:i/>
          <w:sz w:val="22"/>
          <w:szCs w:val="22"/>
        </w:rPr>
        <w:t>Faustino Cavas Martínez</w:t>
      </w:r>
    </w:p>
    <w:p w:rsidR="001072FA" w:rsidRPr="001072FA" w:rsidRDefault="001072FA" w:rsidP="001072FA">
      <w:pPr>
        <w:ind w:firstLine="0"/>
        <w:jc w:val="right"/>
        <w:rPr>
          <w:rFonts w:ascii="Open Sans" w:hAnsi="Open Sans"/>
          <w:i/>
          <w:sz w:val="22"/>
          <w:szCs w:val="22"/>
        </w:rPr>
      </w:pPr>
      <w:r w:rsidRPr="001072FA">
        <w:rPr>
          <w:rFonts w:ascii="Open Sans" w:hAnsi="Open Sans"/>
          <w:i/>
          <w:sz w:val="22"/>
          <w:szCs w:val="22"/>
        </w:rPr>
        <w:t>Catedrático de Derecho del Trabajo y de la Seguridad Social</w:t>
      </w:r>
    </w:p>
    <w:p w:rsidR="001072FA" w:rsidRPr="001072FA" w:rsidRDefault="001072FA" w:rsidP="001072FA">
      <w:pPr>
        <w:ind w:firstLine="0"/>
        <w:jc w:val="right"/>
        <w:rPr>
          <w:rFonts w:ascii="Open Sans" w:hAnsi="Open Sans"/>
          <w:i/>
          <w:sz w:val="22"/>
          <w:szCs w:val="22"/>
        </w:rPr>
      </w:pPr>
      <w:r w:rsidRPr="001072FA">
        <w:rPr>
          <w:rFonts w:ascii="Open Sans" w:hAnsi="Open Sans"/>
          <w:i/>
          <w:sz w:val="22"/>
          <w:szCs w:val="22"/>
        </w:rPr>
        <w:t>Universidad de Murcia</w:t>
      </w:r>
    </w:p>
    <w:p w:rsidR="001072FA" w:rsidRDefault="001072FA" w:rsidP="00020280">
      <w:pPr>
        <w:ind w:firstLine="0"/>
        <w:rPr>
          <w:rFonts w:ascii="Open Sans" w:hAnsi="Open Sans"/>
          <w:szCs w:val="24"/>
        </w:rPr>
      </w:pPr>
    </w:p>
    <w:p w:rsidR="009B42CB" w:rsidRDefault="00020280" w:rsidP="00020280">
      <w:pPr>
        <w:ind w:firstLine="0"/>
        <w:rPr>
          <w:rFonts w:eastAsia="Calibri"/>
          <w:szCs w:val="24"/>
        </w:rPr>
      </w:pPr>
      <w:r>
        <w:rPr>
          <w:rFonts w:ascii="Open Sans" w:hAnsi="Open Sans"/>
          <w:szCs w:val="24"/>
        </w:rPr>
        <w:t xml:space="preserve">La situación de </w:t>
      </w:r>
      <w:r w:rsidR="008222CA">
        <w:rPr>
          <w:rFonts w:ascii="Open Sans" w:hAnsi="Open Sans"/>
          <w:szCs w:val="24"/>
        </w:rPr>
        <w:t>emergencia</w:t>
      </w:r>
      <w:r>
        <w:rPr>
          <w:rFonts w:ascii="Open Sans" w:hAnsi="Open Sans"/>
          <w:szCs w:val="24"/>
        </w:rPr>
        <w:t xml:space="preserve"> ocasionada por la COVID-19 ha sido el detonante de un caudal de medidas destinadas a gestionar y mitigar tanto el devastador impacto sanitario</w:t>
      </w:r>
      <w:r w:rsidR="001072FA">
        <w:rPr>
          <w:rFonts w:ascii="Open Sans" w:hAnsi="Open Sans"/>
          <w:szCs w:val="24"/>
        </w:rPr>
        <w:t xml:space="preserve"> de la pandemia cuanto</w:t>
      </w:r>
      <w:r>
        <w:rPr>
          <w:rFonts w:ascii="Open Sans" w:hAnsi="Open Sans"/>
          <w:szCs w:val="24"/>
        </w:rPr>
        <w:t xml:space="preserve"> la </w:t>
      </w:r>
      <w:r>
        <w:rPr>
          <w:rFonts w:ascii="Open Sans" w:hAnsi="Open Sans" w:hint="eastAsia"/>
          <w:szCs w:val="24"/>
        </w:rPr>
        <w:t>gravísima</w:t>
      </w:r>
      <w:r>
        <w:rPr>
          <w:rFonts w:ascii="Open Sans" w:hAnsi="Open Sans"/>
          <w:szCs w:val="24"/>
        </w:rPr>
        <w:t xml:space="preserve"> crisis social y económica resultante de la misma, cuyos efectos perdurarán más allá de la superación de la alerta sanitaria. </w:t>
      </w:r>
      <w:r w:rsidRPr="009D03E9">
        <w:rPr>
          <w:rFonts w:eastAsia="Calibri"/>
          <w:szCs w:val="24"/>
        </w:rPr>
        <w:t>Partiendo de que el objetivo </w:t>
      </w:r>
      <w:r>
        <w:rPr>
          <w:rFonts w:eastAsia="Calibri"/>
          <w:szCs w:val="24"/>
        </w:rPr>
        <w:t xml:space="preserve">central </w:t>
      </w:r>
      <w:r w:rsidRPr="009D03E9">
        <w:rPr>
          <w:rFonts w:eastAsia="Calibri"/>
          <w:szCs w:val="24"/>
        </w:rPr>
        <w:t xml:space="preserve">de las medidas sociales </w:t>
      </w:r>
      <w:r>
        <w:rPr>
          <w:rFonts w:eastAsia="Calibri"/>
          <w:szCs w:val="24"/>
        </w:rPr>
        <w:t xml:space="preserve">en </w:t>
      </w:r>
      <w:r w:rsidRPr="009D03E9">
        <w:rPr>
          <w:rFonts w:eastAsia="Calibri"/>
          <w:szCs w:val="24"/>
        </w:rPr>
        <w:t>defensa del empleo establecidas por el R</w:t>
      </w:r>
      <w:r>
        <w:rPr>
          <w:rFonts w:eastAsia="Calibri"/>
          <w:szCs w:val="24"/>
        </w:rPr>
        <w:t>DL</w:t>
      </w:r>
      <w:r w:rsidRPr="009D03E9">
        <w:rPr>
          <w:rFonts w:eastAsia="Calibri"/>
          <w:szCs w:val="24"/>
        </w:rPr>
        <w:t xml:space="preserve"> 8/2020 y mantenidas, con ajustes, por los decretos-leyes que se han sucedido desde entonces</w:t>
      </w:r>
      <w:r>
        <w:rPr>
          <w:rFonts w:eastAsia="Calibri"/>
          <w:szCs w:val="24"/>
        </w:rPr>
        <w:t>,</w:t>
      </w:r>
      <w:r w:rsidRPr="009D03E9">
        <w:rPr>
          <w:rFonts w:eastAsia="Calibri"/>
          <w:szCs w:val="24"/>
        </w:rPr>
        <w:t xml:space="preserve"> ha sido mantener a las empresas a flote y conservar los puestos de trabajo </w:t>
      </w:r>
      <w:r w:rsidR="008222CA">
        <w:rPr>
          <w:rFonts w:eastAsia="Calibri"/>
          <w:szCs w:val="24"/>
        </w:rPr>
        <w:t>durante</w:t>
      </w:r>
      <w:r>
        <w:rPr>
          <w:rFonts w:eastAsia="Calibri"/>
          <w:szCs w:val="24"/>
        </w:rPr>
        <w:t xml:space="preserve"> </w:t>
      </w:r>
      <w:r w:rsidRPr="009D03E9">
        <w:rPr>
          <w:rFonts w:eastAsia="Calibri"/>
          <w:szCs w:val="24"/>
        </w:rPr>
        <w:t>esta “tra</w:t>
      </w:r>
      <w:r>
        <w:rPr>
          <w:rFonts w:eastAsia="Calibri"/>
          <w:szCs w:val="24"/>
        </w:rPr>
        <w:t xml:space="preserve">vesía del desierto” por la que nos está </w:t>
      </w:r>
      <w:r w:rsidR="000A3394">
        <w:rPr>
          <w:rFonts w:eastAsia="Calibri"/>
          <w:szCs w:val="24"/>
        </w:rPr>
        <w:t>conduciendo</w:t>
      </w:r>
      <w:r>
        <w:rPr>
          <w:rFonts w:eastAsia="Calibri"/>
          <w:szCs w:val="24"/>
        </w:rPr>
        <w:t xml:space="preserve"> </w:t>
      </w:r>
      <w:r w:rsidRPr="009D03E9">
        <w:rPr>
          <w:rFonts w:eastAsia="Calibri"/>
          <w:szCs w:val="24"/>
        </w:rPr>
        <w:t>el SARS-CoV-2, con un elevado coste para las arcas públicas, se comprende -y comparte- que la activación de los ERTE</w:t>
      </w:r>
      <w:r w:rsidR="00115371">
        <w:rPr>
          <w:rFonts w:eastAsia="Calibri"/>
          <w:szCs w:val="24"/>
        </w:rPr>
        <w:t>S</w:t>
      </w:r>
      <w:r w:rsidR="008222CA">
        <w:rPr>
          <w:rFonts w:eastAsia="Calibri"/>
          <w:szCs w:val="24"/>
        </w:rPr>
        <w:t>,</w:t>
      </w:r>
      <w:r w:rsidR="00115371">
        <w:rPr>
          <w:rFonts w:eastAsia="Calibri"/>
          <w:szCs w:val="24"/>
        </w:rPr>
        <w:t xml:space="preserve"> con notables ventajas para empresas y personas trabajadoras</w:t>
      </w:r>
      <w:r w:rsidR="008222CA">
        <w:rPr>
          <w:rFonts w:eastAsia="Calibri"/>
          <w:szCs w:val="24"/>
        </w:rPr>
        <w:t>,</w:t>
      </w:r>
      <w:r w:rsidRPr="009D03E9">
        <w:rPr>
          <w:rFonts w:eastAsia="Calibri"/>
          <w:szCs w:val="24"/>
        </w:rPr>
        <w:t xml:space="preserve"> </w:t>
      </w:r>
      <w:r w:rsidR="008222CA">
        <w:rPr>
          <w:rFonts w:eastAsia="Calibri"/>
          <w:szCs w:val="24"/>
        </w:rPr>
        <w:t>c</w:t>
      </w:r>
      <w:r w:rsidR="0056708E">
        <w:rPr>
          <w:rFonts w:eastAsia="Calibri"/>
          <w:szCs w:val="24"/>
        </w:rPr>
        <w:t>ierre</w:t>
      </w:r>
      <w:r w:rsidRPr="009D03E9">
        <w:rPr>
          <w:rFonts w:eastAsia="Calibri"/>
          <w:szCs w:val="24"/>
        </w:rPr>
        <w:t xml:space="preserve"> el paso a la posibilidad de apelar a la crisis del coronavirus para justificar</w:t>
      </w:r>
      <w:r>
        <w:rPr>
          <w:rFonts w:eastAsia="Calibri"/>
          <w:szCs w:val="24"/>
        </w:rPr>
        <w:t>,</w:t>
      </w:r>
      <w:r w:rsidRPr="009D03E9">
        <w:rPr>
          <w:rFonts w:eastAsia="Calibri"/>
          <w:szCs w:val="24"/>
        </w:rPr>
        <w:t xml:space="preserve"> </w:t>
      </w:r>
      <w:r>
        <w:rPr>
          <w:rFonts w:eastAsia="Calibri"/>
          <w:szCs w:val="24"/>
        </w:rPr>
        <w:t xml:space="preserve">sobre esa misma </w:t>
      </w:r>
      <w:r w:rsidR="00115371">
        <w:rPr>
          <w:rFonts w:eastAsia="Calibri"/>
          <w:szCs w:val="24"/>
        </w:rPr>
        <w:t>y excepcional causalidad</w:t>
      </w:r>
      <w:r>
        <w:rPr>
          <w:rFonts w:eastAsia="Calibri"/>
          <w:szCs w:val="24"/>
        </w:rPr>
        <w:t xml:space="preserve">, </w:t>
      </w:r>
      <w:r w:rsidRPr="009D03E9">
        <w:rPr>
          <w:rFonts w:eastAsia="Calibri"/>
          <w:szCs w:val="24"/>
        </w:rPr>
        <w:t>ajustes definitivos de plantillas.</w:t>
      </w:r>
      <w:r w:rsidR="00115371">
        <w:rPr>
          <w:rFonts w:eastAsia="Calibri"/>
          <w:szCs w:val="24"/>
        </w:rPr>
        <w:t xml:space="preserve"> De</w:t>
      </w:r>
      <w:r w:rsidR="001072FA">
        <w:rPr>
          <w:rFonts w:eastAsia="Calibri"/>
          <w:szCs w:val="24"/>
        </w:rPr>
        <w:t xml:space="preserve"> esta filosofía </w:t>
      </w:r>
      <w:r w:rsidR="009C603A">
        <w:rPr>
          <w:rFonts w:eastAsia="Calibri"/>
          <w:szCs w:val="24"/>
        </w:rPr>
        <w:t xml:space="preserve">se nutre </w:t>
      </w:r>
      <w:r w:rsidR="009B42CB" w:rsidRPr="009D03E9">
        <w:rPr>
          <w:rFonts w:eastAsia="Calibri"/>
          <w:szCs w:val="24"/>
        </w:rPr>
        <w:t>la norma contenida en el art. 2 del RDL 9/2020</w:t>
      </w:r>
      <w:r w:rsidR="009B42CB">
        <w:rPr>
          <w:rFonts w:eastAsia="Calibri"/>
          <w:szCs w:val="24"/>
        </w:rPr>
        <w:t xml:space="preserve">, </w:t>
      </w:r>
      <w:r w:rsidR="009B42CB" w:rsidRPr="009D03E9">
        <w:rPr>
          <w:rFonts w:eastAsia="Calibri"/>
          <w:szCs w:val="24"/>
        </w:rPr>
        <w:t xml:space="preserve">donde se establece que la fuerza mayor y las causas ETOP relacionadas con el </w:t>
      </w:r>
      <w:r w:rsidR="009B42CB" w:rsidRPr="003771BC">
        <w:rPr>
          <w:rFonts w:eastAsia="Calibri"/>
          <w:caps/>
          <w:szCs w:val="24"/>
        </w:rPr>
        <w:t>Covid</w:t>
      </w:r>
      <w:r w:rsidR="009B42CB" w:rsidRPr="009D03E9">
        <w:rPr>
          <w:rFonts w:eastAsia="Calibri"/>
          <w:szCs w:val="24"/>
        </w:rPr>
        <w:t>-19,</w:t>
      </w:r>
      <w:r w:rsidR="009B42CB">
        <w:rPr>
          <w:rFonts w:eastAsia="Calibri"/>
          <w:szCs w:val="24"/>
        </w:rPr>
        <w:t xml:space="preserve"> habilitantes de ERTES suspensivos y/o de reducción de jornada ex. arts. 22 y 23 </w:t>
      </w:r>
      <w:r w:rsidR="0077298E">
        <w:rPr>
          <w:rFonts w:eastAsia="Calibri"/>
          <w:szCs w:val="24"/>
        </w:rPr>
        <w:t xml:space="preserve">del </w:t>
      </w:r>
      <w:r w:rsidR="009B42CB">
        <w:rPr>
          <w:rFonts w:eastAsia="Calibri"/>
          <w:szCs w:val="24"/>
        </w:rPr>
        <w:t>RDL 8/2020,</w:t>
      </w:r>
      <w:r w:rsidR="009B42CB" w:rsidRPr="009D03E9">
        <w:rPr>
          <w:rFonts w:eastAsia="Calibri"/>
          <w:szCs w:val="24"/>
        </w:rPr>
        <w:t xml:space="preserve"> “</w:t>
      </w:r>
      <w:r w:rsidR="009B42CB" w:rsidRPr="009D03E9">
        <w:rPr>
          <w:rFonts w:eastAsia="Calibri"/>
          <w:i/>
          <w:szCs w:val="24"/>
        </w:rPr>
        <w:t>no se podrán entender como justificativas de la extinción del contrato de trabajo ni del despido</w:t>
      </w:r>
      <w:r w:rsidR="009B42CB" w:rsidRPr="009D03E9">
        <w:rPr>
          <w:rFonts w:eastAsia="Calibri"/>
          <w:szCs w:val="24"/>
        </w:rPr>
        <w:t>”.</w:t>
      </w:r>
    </w:p>
    <w:p w:rsidR="001221A0" w:rsidRDefault="009B42CB" w:rsidP="00020280">
      <w:pPr>
        <w:ind w:firstLine="0"/>
        <w:rPr>
          <w:rFonts w:eastAsia="Calibri"/>
          <w:szCs w:val="24"/>
        </w:rPr>
      </w:pPr>
      <w:r>
        <w:rPr>
          <w:rFonts w:eastAsia="Calibri"/>
          <w:szCs w:val="24"/>
        </w:rPr>
        <w:t>Desde su establecimiento, est</w:t>
      </w:r>
      <w:r w:rsidR="00FB5B0D">
        <w:rPr>
          <w:rFonts w:eastAsia="Calibri"/>
          <w:szCs w:val="24"/>
        </w:rPr>
        <w:t xml:space="preserve">a pretendida prohibición de despedir </w:t>
      </w:r>
      <w:r>
        <w:rPr>
          <w:rFonts w:eastAsia="Calibri"/>
          <w:szCs w:val="24"/>
        </w:rPr>
        <w:t xml:space="preserve">por </w:t>
      </w:r>
      <w:r w:rsidR="00074294">
        <w:rPr>
          <w:rFonts w:eastAsia="Calibri"/>
          <w:szCs w:val="24"/>
        </w:rPr>
        <w:t>covid</w:t>
      </w:r>
      <w:r w:rsidR="001221A0">
        <w:rPr>
          <w:rFonts w:eastAsia="Calibri"/>
          <w:szCs w:val="24"/>
        </w:rPr>
        <w:t xml:space="preserve"> –que ha sido prorrogada sucesivamente, estando en vigor hasta el 31 de mayo de 2021-</w:t>
      </w:r>
      <w:r>
        <w:rPr>
          <w:rFonts w:eastAsia="Calibri"/>
          <w:szCs w:val="24"/>
        </w:rPr>
        <w:t xml:space="preserve"> ha polarizado el debate doctrinal y judicial, dando </w:t>
      </w:r>
      <w:r w:rsidR="0056708E">
        <w:rPr>
          <w:rFonts w:eastAsia="Calibri"/>
          <w:szCs w:val="24"/>
        </w:rPr>
        <w:t>pie</w:t>
      </w:r>
      <w:r>
        <w:rPr>
          <w:rFonts w:eastAsia="Calibri"/>
          <w:szCs w:val="24"/>
        </w:rPr>
        <w:t xml:space="preserve"> a opiniones divergentes tanto </w:t>
      </w:r>
      <w:r w:rsidR="00BF70EB">
        <w:rPr>
          <w:rFonts w:eastAsia="Calibri"/>
          <w:szCs w:val="24"/>
        </w:rPr>
        <w:t>sobre e</w:t>
      </w:r>
      <w:r>
        <w:rPr>
          <w:rFonts w:eastAsia="Calibri"/>
          <w:szCs w:val="24"/>
        </w:rPr>
        <w:t xml:space="preserve">l ámbito material de </w:t>
      </w:r>
      <w:r w:rsidR="00A512A7">
        <w:rPr>
          <w:rFonts w:eastAsia="Calibri"/>
          <w:szCs w:val="24"/>
        </w:rPr>
        <w:t>afectación</w:t>
      </w:r>
      <w:r>
        <w:rPr>
          <w:rFonts w:eastAsia="Calibri"/>
          <w:szCs w:val="24"/>
        </w:rPr>
        <w:t xml:space="preserve"> del art. 2 RDL 9/2020</w:t>
      </w:r>
      <w:r w:rsidR="00A512A7">
        <w:rPr>
          <w:rFonts w:eastAsia="Calibri"/>
          <w:szCs w:val="24"/>
        </w:rPr>
        <w:t>,</w:t>
      </w:r>
      <w:r>
        <w:rPr>
          <w:rFonts w:eastAsia="Calibri"/>
          <w:szCs w:val="24"/>
        </w:rPr>
        <w:t xml:space="preserve"> cuanto </w:t>
      </w:r>
      <w:r w:rsidR="00BF70EB">
        <w:rPr>
          <w:rFonts w:eastAsia="Calibri"/>
          <w:szCs w:val="24"/>
        </w:rPr>
        <w:t xml:space="preserve">sobre </w:t>
      </w:r>
      <w:r>
        <w:rPr>
          <w:rFonts w:eastAsia="Calibri"/>
          <w:szCs w:val="24"/>
        </w:rPr>
        <w:t xml:space="preserve">la calificación y efectos de los ceses que se producen contraviniendo lo dispuesto en </w:t>
      </w:r>
      <w:r w:rsidR="00BF70EB">
        <w:rPr>
          <w:rFonts w:eastAsia="Calibri"/>
          <w:szCs w:val="24"/>
        </w:rPr>
        <w:t>dicho</w:t>
      </w:r>
      <w:r>
        <w:rPr>
          <w:rFonts w:eastAsia="Calibri"/>
          <w:szCs w:val="24"/>
        </w:rPr>
        <w:t xml:space="preserve"> precepto. Respecto a lo primero, </w:t>
      </w:r>
      <w:r w:rsidR="00074294">
        <w:rPr>
          <w:rFonts w:eastAsia="Calibri"/>
          <w:szCs w:val="24"/>
        </w:rPr>
        <w:t>baste señalar</w:t>
      </w:r>
      <w:r w:rsidR="001449C2">
        <w:rPr>
          <w:rFonts w:eastAsia="Calibri"/>
          <w:szCs w:val="24"/>
        </w:rPr>
        <w:t>, como aspecto de singular relevancia, que está arraigando</w:t>
      </w:r>
      <w:r>
        <w:rPr>
          <w:rFonts w:eastAsia="Calibri"/>
          <w:szCs w:val="24"/>
        </w:rPr>
        <w:t xml:space="preserve"> en determinados ámbitos judiciales</w:t>
      </w:r>
      <w:r w:rsidR="00A512A7">
        <w:rPr>
          <w:rFonts w:eastAsia="Calibri"/>
          <w:szCs w:val="24"/>
        </w:rPr>
        <w:t xml:space="preserve">, de instancia y suplicación, la </w:t>
      </w:r>
      <w:r w:rsidR="001449C2">
        <w:rPr>
          <w:rFonts w:eastAsia="Calibri"/>
          <w:szCs w:val="24"/>
        </w:rPr>
        <w:t xml:space="preserve">indebida </w:t>
      </w:r>
      <w:r w:rsidR="00074294">
        <w:rPr>
          <w:rFonts w:eastAsia="Calibri"/>
          <w:szCs w:val="24"/>
        </w:rPr>
        <w:t>identificación</w:t>
      </w:r>
      <w:r w:rsidR="001449C2">
        <w:rPr>
          <w:rFonts w:eastAsia="Calibri"/>
          <w:szCs w:val="24"/>
        </w:rPr>
        <w:t xml:space="preserve"> </w:t>
      </w:r>
      <w:r w:rsidR="00A512A7">
        <w:rPr>
          <w:rFonts w:eastAsia="Calibri"/>
          <w:szCs w:val="24"/>
        </w:rPr>
        <w:t xml:space="preserve">de cualquier despido por crisis </w:t>
      </w:r>
      <w:r w:rsidR="001449C2">
        <w:rPr>
          <w:rFonts w:eastAsia="Calibri"/>
          <w:szCs w:val="24"/>
        </w:rPr>
        <w:t xml:space="preserve">de empresa </w:t>
      </w:r>
      <w:r w:rsidR="00A512A7">
        <w:rPr>
          <w:rFonts w:eastAsia="Calibri"/>
          <w:szCs w:val="24"/>
        </w:rPr>
        <w:t xml:space="preserve">con un despido por </w:t>
      </w:r>
      <w:r w:rsidR="0056708E">
        <w:rPr>
          <w:rFonts w:eastAsia="Calibri"/>
          <w:szCs w:val="24"/>
        </w:rPr>
        <w:t xml:space="preserve">fuerza mayor o </w:t>
      </w:r>
      <w:r w:rsidR="00A512A7">
        <w:rPr>
          <w:rFonts w:eastAsia="Calibri"/>
          <w:szCs w:val="24"/>
        </w:rPr>
        <w:t xml:space="preserve">causas ETOP </w:t>
      </w:r>
      <w:r w:rsidR="00074294">
        <w:rPr>
          <w:rFonts w:eastAsia="Calibri"/>
          <w:szCs w:val="24"/>
        </w:rPr>
        <w:t xml:space="preserve">directamente </w:t>
      </w:r>
      <w:r w:rsidR="00A512A7">
        <w:rPr>
          <w:rFonts w:eastAsia="Calibri"/>
          <w:szCs w:val="24"/>
        </w:rPr>
        <w:t>derivadas del COVID-19</w:t>
      </w:r>
      <w:r w:rsidR="001449C2">
        <w:rPr>
          <w:rFonts w:eastAsia="Calibri"/>
          <w:szCs w:val="24"/>
        </w:rPr>
        <w:t>, cuando es obvio que</w:t>
      </w:r>
      <w:r w:rsidR="007917B4">
        <w:rPr>
          <w:rFonts w:eastAsia="Calibri"/>
          <w:szCs w:val="24"/>
        </w:rPr>
        <w:t xml:space="preserve"> son realidades distintas</w:t>
      </w:r>
      <w:r w:rsidR="001449C2">
        <w:rPr>
          <w:rFonts w:eastAsia="Calibri"/>
          <w:szCs w:val="24"/>
        </w:rPr>
        <w:t>.</w:t>
      </w:r>
      <w:r w:rsidR="00074294">
        <w:rPr>
          <w:rFonts w:eastAsia="Calibri"/>
          <w:szCs w:val="24"/>
        </w:rPr>
        <w:t xml:space="preserve"> </w:t>
      </w:r>
      <w:r w:rsidR="007917B4">
        <w:rPr>
          <w:rFonts w:eastAsia="Calibri"/>
          <w:szCs w:val="24"/>
        </w:rPr>
        <w:t xml:space="preserve">Se trata de </w:t>
      </w:r>
      <w:r w:rsidR="001449C2">
        <w:rPr>
          <w:rFonts w:eastAsia="Calibri"/>
          <w:szCs w:val="24"/>
        </w:rPr>
        <w:t>un exceso interpretativo, pues no todo despido por fuerza mayor o por causas ETOP ocurrido a partir del 14 de marzo de 2020 tiene que ser consustancialmente un despido por dificultades relacionadas con la pandemia</w:t>
      </w:r>
      <w:r w:rsidR="007917B4">
        <w:rPr>
          <w:rFonts w:eastAsia="Calibri"/>
          <w:szCs w:val="24"/>
        </w:rPr>
        <w:t xml:space="preserve"> (aunque en abundantes supuestos así </w:t>
      </w:r>
      <w:r w:rsidR="00BF70EB">
        <w:rPr>
          <w:rFonts w:eastAsia="Calibri"/>
          <w:szCs w:val="24"/>
        </w:rPr>
        <w:t xml:space="preserve">ocurra </w:t>
      </w:r>
      <w:r w:rsidR="007917B4">
        <w:rPr>
          <w:rFonts w:eastAsia="Calibri"/>
          <w:szCs w:val="24"/>
        </w:rPr>
        <w:t>y logre acreditarse en sede judicial)</w:t>
      </w:r>
      <w:r w:rsidR="001449C2">
        <w:rPr>
          <w:rFonts w:eastAsia="Calibri"/>
          <w:szCs w:val="24"/>
        </w:rPr>
        <w:t xml:space="preserve">. </w:t>
      </w:r>
    </w:p>
    <w:p w:rsidR="00FB5B0D" w:rsidRDefault="00FB5B0D" w:rsidP="00FB5B0D">
      <w:pPr>
        <w:ind w:firstLine="0"/>
        <w:rPr>
          <w:rFonts w:eastAsia="Calibri"/>
          <w:szCs w:val="24"/>
        </w:rPr>
      </w:pPr>
      <w:r>
        <w:rPr>
          <w:rFonts w:eastAsia="Calibri"/>
          <w:szCs w:val="24"/>
        </w:rPr>
        <w:t>Pero las incertidumbres en torno a la limitación ex. art. 2 del RDL 9/2020 no se refieren únicamente a su ámbito de aplicación; se plantean también respecto de las consecuencias jurídicas de su contravención. Las extinciones y los despidos que se verifiquen transgrediendo la interdicción legal</w:t>
      </w:r>
      <w:r w:rsidR="00986AB5">
        <w:rPr>
          <w:rFonts w:eastAsia="Calibri"/>
          <w:szCs w:val="24"/>
        </w:rPr>
        <w:t xml:space="preserve"> </w:t>
      </w:r>
      <w:r>
        <w:rPr>
          <w:rFonts w:eastAsia="Calibri"/>
          <w:szCs w:val="24"/>
        </w:rPr>
        <w:t>¿serán nulos o improcedentes?</w:t>
      </w:r>
      <w:r>
        <w:t xml:space="preserve"> La norma nada dice, la exposición de motivos del RDL 9/2020 no arroja luz sobre la anterior incógnita y aún no tenemos doctrina jurisprudencial al respecto. Por el momento, lo </w:t>
      </w:r>
      <w:r w:rsidR="00AF379D">
        <w:t xml:space="preserve">único </w:t>
      </w:r>
      <w:r>
        <w:t xml:space="preserve">que existen son </w:t>
      </w:r>
      <w:r>
        <w:rPr>
          <w:rFonts w:eastAsia="Calibri"/>
          <w:szCs w:val="24"/>
        </w:rPr>
        <w:t>pronunciamientos discrepantes en la temprana doctrina judicial que ha debido afrontar la interpretación</w:t>
      </w:r>
      <w:r w:rsidR="00986AB5">
        <w:rPr>
          <w:rFonts w:eastAsia="Calibri"/>
          <w:szCs w:val="24"/>
        </w:rPr>
        <w:t xml:space="preserve"> y aplicación</w:t>
      </w:r>
      <w:r>
        <w:rPr>
          <w:rFonts w:eastAsia="Calibri"/>
          <w:szCs w:val="24"/>
        </w:rPr>
        <w:t xml:space="preserve"> de la norma. </w:t>
      </w:r>
    </w:p>
    <w:p w:rsidR="00FB5B0D" w:rsidRDefault="00FB5B0D" w:rsidP="00FB5B0D">
      <w:pPr>
        <w:ind w:firstLine="0"/>
      </w:pPr>
      <w:r>
        <w:rPr>
          <w:rFonts w:eastAsia="Calibri"/>
          <w:szCs w:val="24"/>
        </w:rPr>
        <w:t>Para un grup</w:t>
      </w:r>
      <w:r w:rsidR="00AF379D">
        <w:rPr>
          <w:rFonts w:eastAsia="Calibri"/>
          <w:szCs w:val="24"/>
        </w:rPr>
        <w:t>o de pronunciamientos</w:t>
      </w:r>
      <w:r>
        <w:rPr>
          <w:rFonts w:eastAsia="Calibri"/>
          <w:szCs w:val="24"/>
        </w:rPr>
        <w:t xml:space="preserve">, la nulidad </w:t>
      </w:r>
      <w:r w:rsidR="00986AB5">
        <w:rPr>
          <w:rFonts w:eastAsia="Calibri"/>
          <w:szCs w:val="24"/>
        </w:rPr>
        <w:t>es la calificación que debe atribuirse a un despido injustificado por covid</w:t>
      </w:r>
      <w:r>
        <w:rPr>
          <w:rFonts w:eastAsia="Calibri"/>
          <w:szCs w:val="24"/>
        </w:rPr>
        <w:t xml:space="preserve">. Así lo han entendido los Juzgados de lo Social núm. 3 de Sabadell (sentencia 93/2020, de 6 de julio), núm. 29 de Barcelona (sentencia 180/2020, de 28 de julio), núm. 6 de Oviedo (sentencia 363/2020, de 22 de octubre), o, más recientemente, la STSJ País Vasco nº 119/2021, de 26 de enero. </w:t>
      </w:r>
      <w:r w:rsidR="00C94BAA">
        <w:rPr>
          <w:rFonts w:eastAsia="Calibri"/>
          <w:szCs w:val="24"/>
        </w:rPr>
        <w:t xml:space="preserve">Se acogen para extraer esta conclusión a lo establecido en </w:t>
      </w:r>
      <w:r w:rsidR="00C94BAA">
        <w:t xml:space="preserve">el art. 6, números 3 y 4, del Código Civil, </w:t>
      </w:r>
      <w:r w:rsidR="00AF379D">
        <w:t>sobre nulidad de</w:t>
      </w:r>
      <w:r w:rsidR="006E6E0F">
        <w:t xml:space="preserve"> pleno derecho de</w:t>
      </w:r>
      <w:r w:rsidR="00AF379D">
        <w:t xml:space="preserve"> los actos contrarios a normas imperativas</w:t>
      </w:r>
      <w:r w:rsidR="006E6E0F">
        <w:t xml:space="preserve"> y prohibitivas</w:t>
      </w:r>
      <w:r w:rsidR="00AF379D">
        <w:t xml:space="preserve"> y </w:t>
      </w:r>
      <w:r w:rsidR="003A25A0">
        <w:t>sobre las consecuencias del</w:t>
      </w:r>
      <w:r w:rsidR="00AF379D">
        <w:t xml:space="preserve"> fraude de ley, </w:t>
      </w:r>
      <w:r w:rsidR="00C94BAA">
        <w:t>ya que la calificación de improcedencia podría conllevar la infracción de la prohibición establecida al poderse extinguir unilateralmente la relación laboral por voluntad empresarial en virtud del derecho de opción, con lo cual la prohibición quedaría en una mera declaración de intenciones y burlado el propósito de la norma de potenciar los ERTES y mantener el empleo como alternativa a los despidos en tiempos de pandemia.</w:t>
      </w:r>
    </w:p>
    <w:p w:rsidR="00C94BAA" w:rsidRDefault="00C94BAA" w:rsidP="00FB5B0D">
      <w:pPr>
        <w:ind w:firstLine="0"/>
      </w:pPr>
      <w:r>
        <w:rPr>
          <w:rFonts w:eastAsia="Calibri"/>
          <w:szCs w:val="24"/>
        </w:rPr>
        <w:t>Por el contrario, se han decantado por la improcedencia del despido</w:t>
      </w:r>
      <w:r w:rsidR="00986AB5">
        <w:rPr>
          <w:rFonts w:eastAsia="Calibri"/>
          <w:szCs w:val="24"/>
        </w:rPr>
        <w:t>, entre otros,</w:t>
      </w:r>
      <w:r>
        <w:rPr>
          <w:rFonts w:eastAsia="Calibri"/>
          <w:szCs w:val="24"/>
        </w:rPr>
        <w:t xml:space="preserve"> los Juzgados de lo Social núm. 26 de Barcelona (sentencia 170/2020, de 31 de julio), núms. 1 (sentencia 194/2020, de 18 de septiembre) y 3 de Gijón (sentencia 236/2020, de 3 de noviembre), el Juzgado único de Mieres (sentencias 276/2020 y 277/2020, de 26 de octubre), el Juzgado de lo Social núm. 1 de León (sentencias 210/2020 y 211/2020, de 22 de septiembre, y 218/2020, de 1 de octubre), el Juzgado de lo Social 3bis de Ciudad Real (sentencia 286/2020, de 29 de septiembre), el Juzgado de lo Social núm. 1 de Palencia (sentencia 146/2020, de 1 de octubre), el Juzgado de lo Social núm. 3 de Pamplona/Iruña (sentencia </w:t>
      </w:r>
      <w:r>
        <w:t>304/2020, de 21 de diciembre)</w:t>
      </w:r>
      <w:r>
        <w:rPr>
          <w:rFonts w:eastAsia="Calibri"/>
          <w:szCs w:val="24"/>
        </w:rPr>
        <w:t>, el Juzgado de lo Social núm. 1 de Soria (sentencia 94/2020, de 8 de septiembre) y, decidiendo en instancia sobre la impugnación de un despido colectivo, la STSJ Madrid (Social) núm. 1036/2020, de 25 de noviembre, calificándolo como no ajustado a derecho.</w:t>
      </w:r>
      <w:r w:rsidR="0077298E">
        <w:rPr>
          <w:rFonts w:eastAsia="Calibri"/>
          <w:szCs w:val="24"/>
        </w:rPr>
        <w:t xml:space="preserve"> A tenor de estos pronunciamientos –que aventajan por ahora a los defensores de la nulidad-, el art. 2 del RDL 9/2020 no prohíbe taxativamente los despidos por covid-19 durante la crisis sanitaria (con lo que no entraría en juego el art. 6.3 del Código Civil, que declara nulos de pleno derecho los actos contrarios a normas imperativas y prohibitivas), sino que, simplemente, viene a privar de justificación a las </w:t>
      </w:r>
      <w:r w:rsidR="0077298E">
        <w:t xml:space="preserve">extinciones de contratos de trabajo acordadas de acuerdo con las previsiones marcadas en la misma norma (por fuerza mayor COVID-19 y por causas ETOP COVID-19), lo que determina su improcedencia, quedando la calificación de nulidad restringida a los supuestos previstos en los arts. 51.2, 53 y 55 ET y preceptos concordantes </w:t>
      </w:r>
      <w:r w:rsidR="00AA47E5">
        <w:t xml:space="preserve">concordantes de la LRJS (arts. 108, 122.2 y 124.11 y 13: vulneración de derechos fundamentales y libertades públicas y otras causas especialmente graves relacionadas con la infracción de derechos de conciliación de la vida personal, familiar y laboral, con omisiones o defectos en la sustanciación de los despidos colectivos o con infracción de las prioridades de permanencia que pudieran estar establecidas en las leyes, los convenios colectivos o en el acuerdo alcanzado durante el periodo de consultas). </w:t>
      </w:r>
      <w:r w:rsidR="00986AB5">
        <w:t>No se produce, por tanto, una genuina prohibición de despedir que garantice la indemnidad del vínculo, cuanto un encarecimiento del coste económico del despido, que pasa de 20 a 33 días de salario por año de servicios, con reintegro, además, de las cuotas exoneradas, en aplicación de la disposición adicional sexta del RDL 8/2020.</w:t>
      </w:r>
    </w:p>
    <w:p w:rsidR="0077298E" w:rsidRDefault="0077298E" w:rsidP="0077298E">
      <w:pPr>
        <w:pStyle w:val="Ttulo5"/>
        <w:spacing w:line="240" w:lineRule="auto"/>
      </w:pPr>
      <w:r w:rsidRPr="00C01922">
        <w:rPr>
          <w:rFonts w:ascii="Times New Roman" w:hAnsi="Times New Roman"/>
        </w:rPr>
        <w:t xml:space="preserve">Esta </w:t>
      </w:r>
      <w:r>
        <w:rPr>
          <w:rFonts w:ascii="Times New Roman" w:hAnsi="Times New Roman"/>
        </w:rPr>
        <w:t xml:space="preserve">es, en mi opinión, la interpretación correcta de la </w:t>
      </w:r>
      <w:r w:rsidR="00986AB5">
        <w:rPr>
          <w:rFonts w:ascii="Times New Roman" w:hAnsi="Times New Roman"/>
        </w:rPr>
        <w:t xml:space="preserve">pretendida </w:t>
      </w:r>
      <w:r>
        <w:rPr>
          <w:rFonts w:ascii="Times New Roman" w:hAnsi="Times New Roman"/>
        </w:rPr>
        <w:t>prohibición de despedir contenida en el art. 2 del RDL 9/2020</w:t>
      </w:r>
      <w:r w:rsidRPr="00C01922">
        <w:rPr>
          <w:rFonts w:ascii="Times New Roman" w:hAnsi="Times New Roman"/>
        </w:rPr>
        <w:t>. A falta de una declaraci</w:t>
      </w:r>
      <w:r>
        <w:rPr>
          <w:rFonts w:ascii="Times New Roman" w:hAnsi="Times New Roman"/>
        </w:rPr>
        <w:t>ón normativa expresa</w:t>
      </w:r>
      <w:r w:rsidRPr="00C01922">
        <w:rPr>
          <w:rFonts w:ascii="Times New Roman" w:hAnsi="Times New Roman"/>
        </w:rPr>
        <w:t xml:space="preserve">, la calificación de nulidad debe descartarse porque, de acuerdo </w:t>
      </w:r>
      <w:r>
        <w:rPr>
          <w:rFonts w:ascii="Times New Roman" w:hAnsi="Times New Roman"/>
        </w:rPr>
        <w:t>con las previsiones del ET</w:t>
      </w:r>
      <w:r w:rsidR="00A01746">
        <w:rPr>
          <w:rFonts w:ascii="Times New Roman" w:hAnsi="Times New Roman"/>
        </w:rPr>
        <w:t xml:space="preserve"> y de la LRJS</w:t>
      </w:r>
      <w:r w:rsidRPr="00C01922">
        <w:rPr>
          <w:rFonts w:ascii="Times New Roman" w:hAnsi="Times New Roman"/>
        </w:rPr>
        <w:t xml:space="preserve">, se colige que cuando el legislador ha querido que se produzca tal consecuencia, lo ha previsto de forma expresa. </w:t>
      </w:r>
      <w:r>
        <w:rPr>
          <w:rFonts w:ascii="Times New Roman" w:hAnsi="Times New Roman"/>
        </w:rPr>
        <w:t xml:space="preserve">Las causas de nulidad del despido están tasadas legalmente y, en la actualidad, el fraude de ley en los despidos solo determina la nulidad en los casos de </w:t>
      </w:r>
      <w:r w:rsidR="00AA47E5">
        <w:rPr>
          <w:rFonts w:ascii="Times New Roman" w:hAnsi="Times New Roman"/>
        </w:rPr>
        <w:t>extinciones</w:t>
      </w:r>
      <w:r>
        <w:rPr>
          <w:rFonts w:ascii="Times New Roman" w:hAnsi="Times New Roman"/>
        </w:rPr>
        <w:t xml:space="preserve"> objetiv</w:t>
      </w:r>
      <w:r w:rsidR="00AA47E5">
        <w:rPr>
          <w:rFonts w:ascii="Times New Roman" w:hAnsi="Times New Roman"/>
        </w:rPr>
        <w:t>a</w:t>
      </w:r>
      <w:r>
        <w:rPr>
          <w:rFonts w:ascii="Times New Roman" w:hAnsi="Times New Roman"/>
        </w:rPr>
        <w:t xml:space="preserve">s que se realizan por goteo para evitar la </w:t>
      </w:r>
      <w:r w:rsidR="008A0B6F">
        <w:rPr>
          <w:rFonts w:ascii="Times New Roman" w:hAnsi="Times New Roman"/>
        </w:rPr>
        <w:t xml:space="preserve">tramitación </w:t>
      </w:r>
      <w:r w:rsidR="00AA47E5">
        <w:rPr>
          <w:rFonts w:ascii="Times New Roman" w:hAnsi="Times New Roman"/>
        </w:rPr>
        <w:t>exigida a</w:t>
      </w:r>
      <w:r>
        <w:rPr>
          <w:rFonts w:ascii="Times New Roman" w:hAnsi="Times New Roman"/>
        </w:rPr>
        <w:t xml:space="preserve"> los despidos colectivos. </w:t>
      </w:r>
      <w:r w:rsidRPr="00C01922">
        <w:rPr>
          <w:rFonts w:ascii="Times New Roman" w:hAnsi="Times New Roman"/>
        </w:rPr>
        <w:t xml:space="preserve">Además, el tenor del citado art. 2 del RDL 9/2020 abonaría una interpretación en tal sentido, pues la limitación se establece considerando que las causas de fuerza mayor y ETOP que permiten acudir a un ERTE </w:t>
      </w:r>
      <w:r>
        <w:rPr>
          <w:rFonts w:ascii="Times New Roman" w:hAnsi="Times New Roman"/>
        </w:rPr>
        <w:t xml:space="preserve">por COVID-19 </w:t>
      </w:r>
      <w:r w:rsidRPr="00C01922">
        <w:rPr>
          <w:rFonts w:ascii="Times New Roman" w:hAnsi="Times New Roman"/>
        </w:rPr>
        <w:t>no se pueden entender “como justificativas” de la extinción o del despido, y la consecuencia natural y lógica de la ausencia de justificación</w:t>
      </w:r>
      <w:r>
        <w:rPr>
          <w:rFonts w:ascii="Times New Roman" w:hAnsi="Times New Roman"/>
        </w:rPr>
        <w:t>, según reiterada jurisprudencia,</w:t>
      </w:r>
      <w:r w:rsidRPr="00C01922">
        <w:rPr>
          <w:rFonts w:ascii="Times New Roman" w:hAnsi="Times New Roman"/>
        </w:rPr>
        <w:t xml:space="preserve"> es la declaración de improcedencia</w:t>
      </w:r>
      <w:r>
        <w:rPr>
          <w:rFonts w:ascii="Times New Roman" w:hAnsi="Times New Roman"/>
        </w:rPr>
        <w:t>, con independencia del fraude en la actuación empresarial</w:t>
      </w:r>
      <w:r w:rsidRPr="00C01922">
        <w:rPr>
          <w:rFonts w:ascii="Times New Roman" w:hAnsi="Times New Roman"/>
        </w:rPr>
        <w:t xml:space="preserve">. Así lo viene manteniendo el Tribunal Supremo a partir de la entrada en </w:t>
      </w:r>
      <w:r>
        <w:rPr>
          <w:rFonts w:ascii="Times New Roman" w:hAnsi="Times New Roman"/>
        </w:rPr>
        <w:t>v</w:t>
      </w:r>
      <w:r w:rsidRPr="00C01922">
        <w:rPr>
          <w:rFonts w:ascii="Times New Roman" w:hAnsi="Times New Roman"/>
        </w:rPr>
        <w:t>igor del texto articulado de la LPL de 1990 (no modificado en este punto en el texto refundido de la LPL de 1995 ni en la vigent</w:t>
      </w:r>
      <w:r w:rsidRPr="006C51EF">
        <w:rPr>
          <w:rFonts w:ascii="Times New Roman" w:hAnsi="Times New Roman"/>
        </w:rPr>
        <w:t>e LRJS) que suprimió la categoría del despido</w:t>
      </w:r>
      <w:r>
        <w:rPr>
          <w:rFonts w:ascii="Times New Roman" w:hAnsi="Times New Roman"/>
        </w:rPr>
        <w:t xml:space="preserve"> disciplinario</w:t>
      </w:r>
      <w:r w:rsidRPr="006C51EF">
        <w:rPr>
          <w:rFonts w:ascii="Times New Roman" w:hAnsi="Times New Roman"/>
        </w:rPr>
        <w:t xml:space="preserve"> radicalmente nulo por fraude de ley, por inexistencia de causa o por causa ficticia, </w:t>
      </w:r>
      <w:r>
        <w:rPr>
          <w:rFonts w:ascii="Times New Roman" w:hAnsi="Times New Roman"/>
        </w:rPr>
        <w:t>que creó la jurisprudencia bajo la vigencia de la LPL de 1980</w:t>
      </w:r>
      <w:r w:rsidRPr="00C01922">
        <w:rPr>
          <w:rFonts w:ascii="Times New Roman" w:hAnsi="Times New Roman"/>
        </w:rPr>
        <w:t xml:space="preserve">. Constituye un exceso deductivo pretender proyectar en este ámbito (calificación del despido) </w:t>
      </w:r>
      <w:r w:rsidRPr="0024257E">
        <w:rPr>
          <w:rFonts w:ascii="Times New Roman" w:hAnsi="Times New Roman"/>
        </w:rPr>
        <w:t xml:space="preserve">la consecuencia prevista en el art. 6.3 del Código Civil para los actos contrarios a normas imperativas o prohibitivas, cuando el art. 2 del RDL 9/2020 no está redactado como una norma prohibitiva, ni se configuran como imperativas </w:t>
      </w:r>
      <w:r>
        <w:rPr>
          <w:rFonts w:ascii="Times New Roman" w:hAnsi="Times New Roman"/>
        </w:rPr>
        <w:t xml:space="preserve">u obligatorias </w:t>
      </w:r>
      <w:r w:rsidRPr="0024257E">
        <w:rPr>
          <w:rFonts w:ascii="Times New Roman" w:hAnsi="Times New Roman"/>
        </w:rPr>
        <w:t xml:space="preserve">en el RDL 8/2020 las medidas excepcionales previstas en sus arts. 22 y 23. </w:t>
      </w:r>
      <w:r>
        <w:rPr>
          <w:rFonts w:ascii="Times New Roman" w:hAnsi="Times New Roman"/>
        </w:rPr>
        <w:t xml:space="preserve">La nulidad sustantiva y la nulidad procesal no se desenvuelven en un mismo plano ni son categorías equivalentes. </w:t>
      </w:r>
      <w:r w:rsidRPr="0024257E">
        <w:rPr>
          <w:rFonts w:ascii="Times New Roman" w:hAnsi="Times New Roman"/>
        </w:rPr>
        <w:t xml:space="preserve">La legislación laboral ha previsto una categoría </w:t>
      </w:r>
      <w:r w:rsidRPr="002F7544">
        <w:rPr>
          <w:rFonts w:ascii="Times New Roman" w:hAnsi="Times New Roman"/>
          <w:i/>
        </w:rPr>
        <w:t>ad hoc</w:t>
      </w:r>
      <w:r w:rsidRPr="0024257E">
        <w:rPr>
          <w:rFonts w:ascii="Times New Roman" w:hAnsi="Times New Roman"/>
        </w:rPr>
        <w:t>, la improcedencia, para los supuestos de ausencia de ca</w:t>
      </w:r>
      <w:r>
        <w:rPr>
          <w:rFonts w:ascii="Times New Roman" w:hAnsi="Times New Roman"/>
        </w:rPr>
        <w:t>usa justificativa en los despidos individuales, objetivos y disciplinarios</w:t>
      </w:r>
      <w:r w:rsidRPr="0024257E">
        <w:rPr>
          <w:rFonts w:ascii="Times New Roman" w:hAnsi="Times New Roman"/>
        </w:rPr>
        <w:t xml:space="preserve">, cuyos efectos jurídicos son compatibles con lo ordenado por el Convenio 158 de la OIT –que no impone la declaración de nulidad </w:t>
      </w:r>
      <w:r>
        <w:rPr>
          <w:rFonts w:ascii="Times New Roman" w:hAnsi="Times New Roman"/>
        </w:rPr>
        <w:t xml:space="preserve">y el restablecimiento de la relación </w:t>
      </w:r>
      <w:r w:rsidRPr="0024257E">
        <w:rPr>
          <w:rFonts w:ascii="Times New Roman" w:hAnsi="Times New Roman"/>
        </w:rPr>
        <w:t>en todos los casos de despido injustificado</w:t>
      </w:r>
      <w:r>
        <w:rPr>
          <w:rFonts w:ascii="Times New Roman" w:hAnsi="Times New Roman"/>
        </w:rPr>
        <w:t xml:space="preserve"> (modelo de estabilidad real)</w:t>
      </w:r>
      <w:r w:rsidRPr="0024257E">
        <w:rPr>
          <w:rFonts w:ascii="Times New Roman" w:hAnsi="Times New Roman"/>
        </w:rPr>
        <w:t>-, y con lo dispuesto en el art. 6.3 del Código Civil, que califica como nulos los actos contrarios a normas imperativas y prohibitivas (si éste fuera el caso), “</w:t>
      </w:r>
      <w:r w:rsidRPr="00523D2F">
        <w:rPr>
          <w:rFonts w:ascii="Times New Roman" w:hAnsi="Times New Roman"/>
          <w:i/>
        </w:rPr>
        <w:t>salvo que en ellas se establezca un efecto distinto para el caso de contravención</w:t>
      </w:r>
      <w:r w:rsidRPr="0024257E">
        <w:rPr>
          <w:rFonts w:ascii="Times New Roman" w:hAnsi="Times New Roman"/>
        </w:rPr>
        <w:t xml:space="preserve">”.  </w:t>
      </w:r>
      <w:r w:rsidRPr="0077298E">
        <w:rPr>
          <w:rFonts w:ascii="Times New Roman" w:hAnsi="Times New Roman"/>
        </w:rPr>
        <w:t>Como razona</w:t>
      </w:r>
      <w:r w:rsidR="00955664">
        <w:rPr>
          <w:rFonts w:ascii="Times New Roman" w:hAnsi="Times New Roman"/>
        </w:rPr>
        <w:t xml:space="preserve"> –en un asunto sobre despido no relacionado con el covid-</w:t>
      </w:r>
      <w:r w:rsidRPr="0077298E">
        <w:rPr>
          <w:rFonts w:ascii="Times New Roman" w:hAnsi="Times New Roman"/>
        </w:rPr>
        <w:t xml:space="preserve"> la STSJ Andalucía/Sevilla, de 19 noviembre 2020 (rec. 1795/20</w:t>
      </w:r>
      <w:r w:rsidR="00AA47E5">
        <w:rPr>
          <w:rFonts w:ascii="Times New Roman" w:hAnsi="Times New Roman"/>
        </w:rPr>
        <w:t>19</w:t>
      </w:r>
      <w:r w:rsidRPr="0077298E">
        <w:rPr>
          <w:rFonts w:ascii="Times New Roman" w:hAnsi="Times New Roman"/>
        </w:rPr>
        <w:t xml:space="preserve">), “la responsabilidad del empresario nace por la existencia de un sistema causal y por el hecho de que no se ha respetado, de modo que el medio a través del cual se exige al empresario el cumplimiento del programa de prestación ilegítimamente incumplido excede del ámbito de aplicación de los apartados 3 y 4 del artículo 6 del CC y, por tanto, la nulidad del apartado 3 se circunscribe al acto extintivo y así es distinta de la calificación judicial de nulidad”; y se recuerda que, conforme a la STC 185/2014, no existe “la posibilidad de una interpretación constitucional de la ley, de la que se pretenda derivar como conclusión que la falta de mención de causa conlleva la nulidad”. </w:t>
      </w:r>
      <w:r w:rsidR="00D63C4A">
        <w:rPr>
          <w:rFonts w:ascii="Times New Roman" w:hAnsi="Times New Roman"/>
        </w:rPr>
        <w:t xml:space="preserve">Si el Gobierno-legislador pretendía garantizar la estabilidad real del empleo durante la pandemia, tendría que haber sido más explícito y </w:t>
      </w:r>
      <w:r w:rsidR="0026726E">
        <w:rPr>
          <w:rFonts w:ascii="Times New Roman" w:hAnsi="Times New Roman"/>
        </w:rPr>
        <w:t xml:space="preserve">haber </w:t>
      </w:r>
      <w:r w:rsidR="00D63C4A">
        <w:rPr>
          <w:rFonts w:ascii="Times New Roman" w:hAnsi="Times New Roman"/>
        </w:rPr>
        <w:t>recog</w:t>
      </w:r>
      <w:r w:rsidR="0026726E">
        <w:rPr>
          <w:rFonts w:ascii="Times New Roman" w:hAnsi="Times New Roman"/>
        </w:rPr>
        <w:t>ido</w:t>
      </w:r>
      <w:r w:rsidR="00D63C4A">
        <w:rPr>
          <w:rFonts w:ascii="Times New Roman" w:hAnsi="Times New Roman"/>
        </w:rPr>
        <w:t xml:space="preserve"> el efecto de la nulidad en la formulación del art. 2 del RDL 9/2020</w:t>
      </w:r>
      <w:r w:rsidR="005C31D8">
        <w:rPr>
          <w:rFonts w:ascii="Times New Roman" w:hAnsi="Times New Roman"/>
        </w:rPr>
        <w:t xml:space="preserve"> para los despidos injustificados por covid</w:t>
      </w:r>
      <w:r w:rsidR="00D63C4A">
        <w:rPr>
          <w:rFonts w:ascii="Times New Roman" w:hAnsi="Times New Roman"/>
        </w:rPr>
        <w:t xml:space="preserve">.   </w:t>
      </w:r>
    </w:p>
    <w:p w:rsidR="0077298E" w:rsidRDefault="0077298E" w:rsidP="00EE42A8">
      <w:pPr>
        <w:pStyle w:val="NormalWeb"/>
        <w:spacing w:after="240" w:afterAutospacing="0"/>
        <w:jc w:val="both"/>
      </w:pPr>
      <w:r>
        <w:rPr>
          <w:color w:val="000000"/>
        </w:rPr>
        <w:t>Es cierto que el Tribunal Supremo ha rescatado la añeja figura del despido nulo en fraude de ley para considerar nula la extinción</w:t>
      </w:r>
      <w:r w:rsidR="00EE42A8">
        <w:rPr>
          <w:color w:val="000000"/>
        </w:rPr>
        <w:t xml:space="preserve"> colectiva en varios supuestos. </w:t>
      </w:r>
      <w:r>
        <w:rPr>
          <w:color w:val="000000"/>
        </w:rPr>
        <w:t xml:space="preserve">Así, se ha declarado nulo el despido colectivo cuando el mismo </w:t>
      </w:r>
      <w:r w:rsidRPr="007D0B41">
        <w:rPr>
          <w:color w:val="000000"/>
        </w:rPr>
        <w:t xml:space="preserve">se adopta con la finalidad de evitar </w:t>
      </w:r>
      <w:r>
        <w:rPr>
          <w:color w:val="000000"/>
        </w:rPr>
        <w:t xml:space="preserve">las superiores </w:t>
      </w:r>
      <w:r w:rsidRPr="007D0B41">
        <w:rPr>
          <w:color w:val="000000"/>
        </w:rPr>
        <w:t>indemnizaciones derivadas de las s</w:t>
      </w:r>
      <w:r>
        <w:rPr>
          <w:color w:val="000000"/>
        </w:rPr>
        <w:t xml:space="preserve">entencias dictadas previamente contra el empleador </w:t>
      </w:r>
      <w:r w:rsidRPr="007D0B41">
        <w:rPr>
          <w:color w:val="000000"/>
        </w:rPr>
        <w:t>sobre extinción de los contratos de t</w:t>
      </w:r>
      <w:r>
        <w:rPr>
          <w:color w:val="000000"/>
        </w:rPr>
        <w:t xml:space="preserve">rabajo por falta de abono de </w:t>
      </w:r>
      <w:r w:rsidRPr="007D0B41">
        <w:rPr>
          <w:color w:val="000000"/>
        </w:rPr>
        <w:t>salarios o retraso</w:t>
      </w:r>
      <w:r>
        <w:rPr>
          <w:color w:val="000000"/>
        </w:rPr>
        <w:t>s</w:t>
      </w:r>
      <w:r w:rsidRPr="007D0B41">
        <w:rPr>
          <w:color w:val="000000"/>
        </w:rPr>
        <w:t xml:space="preserve"> continuado</w:t>
      </w:r>
      <w:r>
        <w:rPr>
          <w:color w:val="000000"/>
        </w:rPr>
        <w:t>s en el pago</w:t>
      </w:r>
      <w:r w:rsidR="00EE42A8">
        <w:rPr>
          <w:color w:val="000000"/>
        </w:rPr>
        <w:t xml:space="preserve"> (</w:t>
      </w:r>
      <w:r w:rsidR="00EE42A8" w:rsidRPr="00BF0F80">
        <w:t>STS 4ª de 29 diciembre 2014</w:t>
      </w:r>
      <w:r w:rsidR="00EE42A8">
        <w:t xml:space="preserve">, rco. 93/2012); o </w:t>
      </w:r>
      <w:r w:rsidRPr="007D0B41">
        <w:rPr>
          <w:color w:val="000000"/>
        </w:rPr>
        <w:t xml:space="preserve">incumpliendo </w:t>
      </w:r>
      <w:r>
        <w:rPr>
          <w:color w:val="000000"/>
        </w:rPr>
        <w:t xml:space="preserve">la empresa el compromiso adquirido en </w:t>
      </w:r>
      <w:r w:rsidR="00EE42A8">
        <w:rPr>
          <w:color w:val="000000"/>
        </w:rPr>
        <w:t xml:space="preserve">un pacto colectivo </w:t>
      </w:r>
      <w:r>
        <w:rPr>
          <w:color w:val="000000"/>
        </w:rPr>
        <w:t>de no proceder a despedir</w:t>
      </w:r>
      <w:r w:rsidRPr="007D0B41">
        <w:rPr>
          <w:color w:val="000000"/>
        </w:rPr>
        <w:t xml:space="preserve"> por causas </w:t>
      </w:r>
      <w:r>
        <w:rPr>
          <w:color w:val="000000"/>
        </w:rPr>
        <w:t xml:space="preserve">empresariales </w:t>
      </w:r>
      <w:r w:rsidRPr="007D0B41">
        <w:rPr>
          <w:color w:val="000000"/>
        </w:rPr>
        <w:t>durante la vigencia del expediente</w:t>
      </w:r>
      <w:r>
        <w:rPr>
          <w:color w:val="000000"/>
        </w:rPr>
        <w:t xml:space="preserve"> temporal</w:t>
      </w:r>
      <w:r w:rsidRPr="007D0B41">
        <w:rPr>
          <w:color w:val="000000"/>
        </w:rPr>
        <w:t>, sin haber variado las circunstancias que motivaron este último</w:t>
      </w:r>
      <w:r w:rsidR="00EE42A8">
        <w:rPr>
          <w:color w:val="000000"/>
        </w:rPr>
        <w:t xml:space="preserve"> (</w:t>
      </w:r>
      <w:r w:rsidR="00EE42A8" w:rsidRPr="00BF0F80">
        <w:t>S</w:t>
      </w:r>
      <w:r w:rsidR="00EE42A8">
        <w:t>STS 4ª de 12 marzo 2014, -</w:t>
      </w:r>
      <w:r w:rsidR="00EE42A8" w:rsidRPr="00BF0F80">
        <w:t>rcud. 673/2013</w:t>
      </w:r>
      <w:r w:rsidR="00EE42A8">
        <w:t>-, 16 abril 2014 -</w:t>
      </w:r>
      <w:r w:rsidR="00EE42A8" w:rsidRPr="00BF0F80">
        <w:t>rco. 57/2013</w:t>
      </w:r>
      <w:r w:rsidR="00EE42A8">
        <w:t>-, 24 septiembre 2014 -</w:t>
      </w:r>
      <w:r w:rsidR="00EE42A8" w:rsidRPr="00BF0F80">
        <w:t>rco. 271/2013</w:t>
      </w:r>
      <w:r w:rsidR="00EE42A8">
        <w:t>- o 23 mayo 2015 -</w:t>
      </w:r>
      <w:r w:rsidR="00EE42A8" w:rsidRPr="00BF0F80">
        <w:t>rco. 286/2014</w:t>
      </w:r>
      <w:r w:rsidR="00EE42A8">
        <w:t>-);</w:t>
      </w:r>
      <w:r w:rsidR="00EE42A8">
        <w:rPr>
          <w:color w:val="000000"/>
        </w:rPr>
        <w:t xml:space="preserve"> o</w:t>
      </w:r>
      <w:r w:rsidR="00276B77">
        <w:rPr>
          <w:color w:val="000000"/>
        </w:rPr>
        <w:t xml:space="preserve"> se recurre a un despido masivo</w:t>
      </w:r>
      <w:r w:rsidR="00EE42A8">
        <w:rPr>
          <w:color w:val="000000"/>
        </w:rPr>
        <w:t xml:space="preserve"> para evitar la subrogación empresarial prevista en el</w:t>
      </w:r>
      <w:r w:rsidRPr="007D0B41">
        <w:rPr>
          <w:color w:val="000000"/>
        </w:rPr>
        <w:t xml:space="preserve"> art. 44 del ET</w:t>
      </w:r>
      <w:r w:rsidR="00EE42A8">
        <w:rPr>
          <w:color w:val="000000"/>
        </w:rPr>
        <w:t xml:space="preserve"> (SSTS 4ª de 18 febrero 2014 -</w:t>
      </w:r>
      <w:r w:rsidR="00EE42A8" w:rsidRPr="00BF0F80">
        <w:rPr>
          <w:color w:val="000000"/>
        </w:rPr>
        <w:t>rco. 108/2013</w:t>
      </w:r>
      <w:r w:rsidR="00EE42A8">
        <w:rPr>
          <w:color w:val="000000"/>
        </w:rPr>
        <w:t xml:space="preserve">-, </w:t>
      </w:r>
      <w:r w:rsidR="00EE42A8">
        <w:t>17 febrero 2014 -</w:t>
      </w:r>
      <w:r w:rsidR="00EE42A8" w:rsidRPr="00BF0F80">
        <w:t>rco. 142/2013</w:t>
      </w:r>
      <w:r w:rsidR="00EE42A8">
        <w:t>- o</w:t>
      </w:r>
      <w:r w:rsidR="00EE42A8" w:rsidRPr="00BF0F80">
        <w:t xml:space="preserve"> 16 a</w:t>
      </w:r>
      <w:r w:rsidR="00EE42A8">
        <w:t>bril 2014 -</w:t>
      </w:r>
      <w:r w:rsidR="00EE42A8" w:rsidRPr="00BF0F80">
        <w:t>rco. 261/2013</w:t>
      </w:r>
      <w:r w:rsidR="00EE42A8">
        <w:t>-, entre otras)</w:t>
      </w:r>
      <w:r w:rsidRPr="007D0B41">
        <w:rPr>
          <w:color w:val="000000"/>
        </w:rPr>
        <w:t>.</w:t>
      </w:r>
      <w:r w:rsidR="00EE42A8">
        <w:rPr>
          <w:color w:val="000000"/>
        </w:rPr>
        <w:t xml:space="preserve"> </w:t>
      </w:r>
      <w:r>
        <w:rPr>
          <w:lang w:eastAsia="en-US"/>
        </w:rPr>
        <w:t>Con todo, es muy discutible que esta doctrina pueda expandirse a los despidos individuales sin causa</w:t>
      </w:r>
      <w:r>
        <w:t xml:space="preserve">, con ampliación de la consecuencia de nulidad más allá de los supuestos a los que la ley reserva taxativamente esa calificación. </w:t>
      </w:r>
    </w:p>
    <w:p w:rsidR="0077298E" w:rsidRDefault="005432E7" w:rsidP="0077298E">
      <w:pPr>
        <w:ind w:firstLine="0"/>
        <w:rPr>
          <w:rFonts w:eastAsia="Calibri"/>
          <w:szCs w:val="24"/>
        </w:rPr>
      </w:pPr>
      <w:r>
        <w:t xml:space="preserve">Desmarcándose de las tesis postuladas sobre la improcedencia o nulidad de los despidos basados en causas COVID, </w:t>
      </w:r>
      <w:r w:rsidR="0077298E" w:rsidRPr="00C40225">
        <w:t>algún pronunciamiento de instancia</w:t>
      </w:r>
      <w:r>
        <w:t xml:space="preserve"> (JS </w:t>
      </w:r>
      <w:r w:rsidRPr="00BF0F80">
        <w:t>Barcelona nº 1</w:t>
      </w:r>
      <w:r>
        <w:t xml:space="preserve">, </w:t>
      </w:r>
      <w:r w:rsidRPr="00BF0F80">
        <w:t>Sentencia 283/2020, de 15 diciembre</w:t>
      </w:r>
      <w:r>
        <w:t>)</w:t>
      </w:r>
      <w:r w:rsidR="0064624A">
        <w:t>,</w:t>
      </w:r>
      <w:r w:rsidRPr="00BF0F80">
        <w:t xml:space="preserve"> </w:t>
      </w:r>
      <w:r w:rsidR="0077298E" w:rsidRPr="00C40225">
        <w:t>ha</w:t>
      </w:r>
      <w:r>
        <w:t xml:space="preserve"> </w:t>
      </w:r>
      <w:r w:rsidR="0077298E" w:rsidRPr="00C40225">
        <w:t>calificado como procedente el despido por causas económicas relacionadas con el COVID-19, considerando que la limitación contenida en el art. 2 del RDL 9/2020 no es de aplicación por ser contraria al art. 3.3 d</w:t>
      </w:r>
      <w:r>
        <w:t xml:space="preserve">el Tratado de la Unión Europea. Para esta sentencia, </w:t>
      </w:r>
      <w:r w:rsidR="0077298E" w:rsidRPr="00C40225">
        <w:t>la normativa español</w:t>
      </w:r>
      <w:r w:rsidR="0077298E">
        <w:t>a</w:t>
      </w:r>
      <w:r w:rsidR="0077298E" w:rsidRPr="00C40225">
        <w:t xml:space="preserve">, al establecer una prohibición incondicionada a una medida de readaptación empresarial de amplio reconocimiento en todas las economías de la UE y que todas las legislaciones someten a varios requisitos formales, materiales y de compensación -en cuanto que no es una causa imputable al trabajador- </w:t>
      </w:r>
      <w:r w:rsidR="0077298E">
        <w:t>“</w:t>
      </w:r>
      <w:r w:rsidR="0077298E" w:rsidRPr="00C40225">
        <w:t xml:space="preserve">no respeta esa legalidad comunitaria, de establecer un marco común de </w:t>
      </w:r>
      <w:r w:rsidR="0077298E">
        <w:t>desarroll</w:t>
      </w:r>
      <w:r w:rsidR="0077298E" w:rsidRPr="00C40225">
        <w:t>o social y económico, por lo que generando derechos subjetivos en los justiciables, merecen la protección y tutela de los órganos jurisdiccionales, como tribunales de la UE</w:t>
      </w:r>
      <w:r w:rsidR="0077298E">
        <w:t>”</w:t>
      </w:r>
      <w:r w:rsidR="0077298E" w:rsidRPr="00C40225">
        <w:t>.</w:t>
      </w:r>
      <w:r>
        <w:t xml:space="preserve"> </w:t>
      </w:r>
      <w:r w:rsidR="00735E1A">
        <w:t xml:space="preserve">Con independencia del resultado que pueda deparar la eventual impugnación de esta llamativa decisión judicial, </w:t>
      </w:r>
      <w:r w:rsidR="00276B77">
        <w:t>su</w:t>
      </w:r>
      <w:r w:rsidR="00735E1A">
        <w:t xml:space="preserve"> fundamentación</w:t>
      </w:r>
      <w:r w:rsidR="00002BE8">
        <w:t xml:space="preserve"> </w:t>
      </w:r>
      <w:r w:rsidR="00276B77">
        <w:t xml:space="preserve">no es convincente. </w:t>
      </w:r>
      <w:r w:rsidR="00002BE8">
        <w:t>D</w:t>
      </w:r>
      <w:r>
        <w:t xml:space="preserve">e un lado, porque no parece tan </w:t>
      </w:r>
      <w:r w:rsidR="00276B77">
        <w:t xml:space="preserve">evidente </w:t>
      </w:r>
      <w:r w:rsidR="0077298E">
        <w:rPr>
          <w:rFonts w:eastAsia="Calibri"/>
          <w:szCs w:val="24"/>
        </w:rPr>
        <w:t>-como sí l</w:t>
      </w:r>
      <w:r w:rsidR="00276B77">
        <w:rPr>
          <w:rFonts w:eastAsia="Calibri"/>
          <w:szCs w:val="24"/>
        </w:rPr>
        <w:t>o es</w:t>
      </w:r>
      <w:r w:rsidR="00955664">
        <w:rPr>
          <w:rFonts w:eastAsia="Calibri"/>
          <w:szCs w:val="24"/>
        </w:rPr>
        <w:t>,</w:t>
      </w:r>
      <w:r w:rsidR="0077298E">
        <w:rPr>
          <w:rFonts w:eastAsia="Calibri"/>
          <w:szCs w:val="24"/>
        </w:rPr>
        <w:t xml:space="preserve"> en cambio</w:t>
      </w:r>
      <w:r w:rsidR="00955664">
        <w:rPr>
          <w:rFonts w:eastAsia="Calibri"/>
          <w:szCs w:val="24"/>
        </w:rPr>
        <w:t>,</w:t>
      </w:r>
      <w:r w:rsidR="0077298E">
        <w:rPr>
          <w:rFonts w:eastAsia="Calibri"/>
          <w:szCs w:val="24"/>
        </w:rPr>
        <w:t xml:space="preserve"> </w:t>
      </w:r>
      <w:r w:rsidR="00276B77">
        <w:rPr>
          <w:rFonts w:eastAsia="Calibri"/>
          <w:szCs w:val="24"/>
        </w:rPr>
        <w:t>para e</w:t>
      </w:r>
      <w:r w:rsidR="0077298E">
        <w:rPr>
          <w:rFonts w:eastAsia="Calibri"/>
          <w:szCs w:val="24"/>
        </w:rPr>
        <w:t>l magistrado</w:t>
      </w:r>
      <w:r w:rsidR="00955664">
        <w:rPr>
          <w:rFonts w:eastAsia="Calibri"/>
          <w:szCs w:val="24"/>
        </w:rPr>
        <w:t xml:space="preserve"> autor de la sentencia</w:t>
      </w:r>
      <w:r w:rsidR="00816132">
        <w:rPr>
          <w:rFonts w:eastAsia="Calibri"/>
          <w:szCs w:val="24"/>
        </w:rPr>
        <w:t xml:space="preserve">, hasta el </w:t>
      </w:r>
      <w:r w:rsidR="00955664">
        <w:rPr>
          <w:rFonts w:eastAsia="Calibri"/>
          <w:szCs w:val="24"/>
        </w:rPr>
        <w:t xml:space="preserve">punto de considerar innecesario el planteamiento de </w:t>
      </w:r>
      <w:r w:rsidR="00816132">
        <w:rPr>
          <w:rFonts w:eastAsia="Calibri"/>
          <w:szCs w:val="24"/>
        </w:rPr>
        <w:t>la cuestión prejudicial</w:t>
      </w:r>
      <w:r w:rsidR="0077298E">
        <w:rPr>
          <w:rFonts w:eastAsia="Calibri"/>
          <w:szCs w:val="24"/>
        </w:rPr>
        <w:t>- la contradicción entre el ordenamiento interno y la normativa europea que reconoce el derecho a la libertad de empresa y, formando parte de ésta, la facultad de las empresas de acudir a medidas de reestructuración empr</w:t>
      </w:r>
      <w:r w:rsidR="00816132">
        <w:rPr>
          <w:rFonts w:eastAsia="Calibri"/>
          <w:szCs w:val="24"/>
        </w:rPr>
        <w:t>e</w:t>
      </w:r>
      <w:r w:rsidR="00002BE8">
        <w:rPr>
          <w:rFonts w:eastAsia="Calibri"/>
          <w:szCs w:val="24"/>
        </w:rPr>
        <w:t>sarial por causas justificadas. D</w:t>
      </w:r>
      <w:r w:rsidR="00816132">
        <w:rPr>
          <w:rFonts w:eastAsia="Calibri"/>
          <w:szCs w:val="24"/>
        </w:rPr>
        <w:t>e</w:t>
      </w:r>
      <w:r w:rsidR="0077298E">
        <w:rPr>
          <w:rFonts w:eastAsia="Calibri"/>
          <w:szCs w:val="24"/>
        </w:rPr>
        <w:t xml:space="preserve"> otro lado, </w:t>
      </w:r>
      <w:r w:rsidR="00002BE8">
        <w:rPr>
          <w:rFonts w:eastAsia="Calibri"/>
          <w:szCs w:val="24"/>
        </w:rPr>
        <w:t xml:space="preserve">porque </w:t>
      </w:r>
      <w:r w:rsidR="0077298E">
        <w:rPr>
          <w:rFonts w:eastAsia="Calibri"/>
          <w:szCs w:val="24"/>
        </w:rPr>
        <w:t>debe recordarse que el art. 2 del RDL 9/2020 no establece una prohibición absoluta de despedir o extinguir contratos que ponga en riesgo la viabilidad de las organizaciones productivas y, de paso, la supervivencia de las relaciones laborales; lo que hace es limitar la posibilidad de efectuar despidos por las mismas causas que transitoria y excepcionalmente permiten acudir a expedientes temporales de regulación de empleo generosamente financiados con recursos públicos, como alternativa a la destrucción de puestos de trabajo, correspondiendo al legislador interno, en uso de sus competencias y respetando las previsiones de derecho internacional y europeo que le vinculan, delimitar la causalidad habilitante del despido, habiendo determinado el ordenamiento español que las situaciones de dificultad empresarial ocasionadas por la pandemia de COVID-19 no revisten ese carácter justificativo</w:t>
      </w:r>
      <w:r w:rsidR="00276B77">
        <w:rPr>
          <w:rFonts w:eastAsia="Calibri"/>
          <w:szCs w:val="24"/>
        </w:rPr>
        <w:t xml:space="preserve"> dado su carácter excepcional y limitado en el tiempo</w:t>
      </w:r>
      <w:r w:rsidR="0077298E">
        <w:rPr>
          <w:rFonts w:eastAsia="Calibri"/>
          <w:szCs w:val="24"/>
        </w:rPr>
        <w:t>.</w:t>
      </w:r>
    </w:p>
    <w:p w:rsidR="0077298E" w:rsidRPr="00C40225" w:rsidRDefault="0077298E" w:rsidP="0077298E">
      <w:pPr>
        <w:ind w:firstLine="0"/>
        <w:rPr>
          <w:rFonts w:eastAsia="Calibri"/>
          <w:szCs w:val="24"/>
        </w:rPr>
      </w:pPr>
      <w:r>
        <w:t>Para concluir</w:t>
      </w:r>
      <w:r w:rsidR="00955664">
        <w:t xml:space="preserve"> estas reflexiones</w:t>
      </w:r>
      <w:r>
        <w:t xml:space="preserve">, cabe </w:t>
      </w:r>
      <w:r w:rsidR="00735E1A">
        <w:t xml:space="preserve">reiterar </w:t>
      </w:r>
      <w:r>
        <w:t xml:space="preserve">que tanto el radio de acción de la medida alojada en el art. 2 del RDL 9/2020 cuanto la calificación y los efectos del despido por COVID-19 están siendo objeto de atención e intenso debate, tanto doctrinal como judicial, y continuarán siéndolo mientras no exista una intervención legislativa que concrete las consecuencias de tales despidos, o hasta que la Sala Cuarta del TS fije su propia doctrina al respecto. </w:t>
      </w:r>
    </w:p>
    <w:p w:rsidR="0077298E" w:rsidRDefault="0077298E" w:rsidP="00FB5B0D">
      <w:pPr>
        <w:ind w:firstLine="0"/>
        <w:rPr>
          <w:rFonts w:eastAsia="Calibri"/>
          <w:szCs w:val="24"/>
        </w:rPr>
      </w:pPr>
    </w:p>
    <w:p w:rsidR="007917B4" w:rsidRDefault="007917B4" w:rsidP="00020280">
      <w:pPr>
        <w:ind w:firstLine="0"/>
        <w:rPr>
          <w:rFonts w:eastAsia="Calibri"/>
          <w:szCs w:val="24"/>
        </w:rPr>
      </w:pPr>
    </w:p>
    <w:p w:rsidR="00BF70EB" w:rsidRDefault="00BF70EB" w:rsidP="00020280">
      <w:pPr>
        <w:ind w:firstLine="0"/>
        <w:rPr>
          <w:rFonts w:eastAsia="Calibri"/>
          <w:szCs w:val="24"/>
        </w:rPr>
      </w:pPr>
    </w:p>
    <w:p w:rsidR="00677C88" w:rsidRPr="00020280" w:rsidRDefault="00A512A7" w:rsidP="00020280">
      <w:pPr>
        <w:ind w:firstLine="0"/>
        <w:rPr>
          <w:rFonts w:eastAsia="Calibri"/>
          <w:szCs w:val="24"/>
        </w:rPr>
      </w:pPr>
      <w:r>
        <w:rPr>
          <w:rFonts w:eastAsia="Calibri"/>
          <w:szCs w:val="24"/>
        </w:rPr>
        <w:t xml:space="preserve"> </w:t>
      </w:r>
      <w:r w:rsidR="009B42CB">
        <w:rPr>
          <w:rFonts w:eastAsia="Calibri"/>
          <w:szCs w:val="24"/>
        </w:rPr>
        <w:t xml:space="preserve">   </w:t>
      </w:r>
      <w:r w:rsidR="00115371">
        <w:rPr>
          <w:rFonts w:eastAsia="Calibri"/>
          <w:szCs w:val="24"/>
        </w:rPr>
        <w:t xml:space="preserve">  </w:t>
      </w:r>
    </w:p>
    <w:sectPr w:rsidR="00677C88" w:rsidRPr="00020280" w:rsidSect="00677C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8B" w:rsidRDefault="00C8558B" w:rsidP="00FB5B0D">
      <w:pPr>
        <w:spacing w:after="0"/>
      </w:pPr>
      <w:r>
        <w:separator/>
      </w:r>
    </w:p>
  </w:endnote>
  <w:endnote w:type="continuationSeparator" w:id="0">
    <w:p w:rsidR="00C8558B" w:rsidRDefault="00C8558B" w:rsidP="00FB5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8B" w:rsidRDefault="00C8558B" w:rsidP="00FB5B0D">
      <w:pPr>
        <w:spacing w:after="0"/>
      </w:pPr>
      <w:r>
        <w:separator/>
      </w:r>
    </w:p>
  </w:footnote>
  <w:footnote w:type="continuationSeparator" w:id="0">
    <w:p w:rsidR="00C8558B" w:rsidRDefault="00C8558B" w:rsidP="00FB5B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80"/>
    <w:rsid w:val="00002BE8"/>
    <w:rsid w:val="00020280"/>
    <w:rsid w:val="00074294"/>
    <w:rsid w:val="000A3394"/>
    <w:rsid w:val="001072FA"/>
    <w:rsid w:val="00115371"/>
    <w:rsid w:val="001221A0"/>
    <w:rsid w:val="001449C2"/>
    <w:rsid w:val="001D6269"/>
    <w:rsid w:val="0026726E"/>
    <w:rsid w:val="00276B77"/>
    <w:rsid w:val="00327708"/>
    <w:rsid w:val="003A25A0"/>
    <w:rsid w:val="00530FFE"/>
    <w:rsid w:val="005432E7"/>
    <w:rsid w:val="0056708E"/>
    <w:rsid w:val="005C31D8"/>
    <w:rsid w:val="0064624A"/>
    <w:rsid w:val="00677C88"/>
    <w:rsid w:val="006C2BF5"/>
    <w:rsid w:val="006E6E0F"/>
    <w:rsid w:val="00735E1A"/>
    <w:rsid w:val="0077298E"/>
    <w:rsid w:val="007917B4"/>
    <w:rsid w:val="00816132"/>
    <w:rsid w:val="008222CA"/>
    <w:rsid w:val="0088357F"/>
    <w:rsid w:val="008A0B6F"/>
    <w:rsid w:val="008A1410"/>
    <w:rsid w:val="00955664"/>
    <w:rsid w:val="00986AB5"/>
    <w:rsid w:val="009B42CB"/>
    <w:rsid w:val="009C603A"/>
    <w:rsid w:val="00A01746"/>
    <w:rsid w:val="00A512A7"/>
    <w:rsid w:val="00AA47E5"/>
    <w:rsid w:val="00AF379D"/>
    <w:rsid w:val="00BF70EB"/>
    <w:rsid w:val="00C511E5"/>
    <w:rsid w:val="00C8558B"/>
    <w:rsid w:val="00C94BAA"/>
    <w:rsid w:val="00D63C4A"/>
    <w:rsid w:val="00EE42A8"/>
    <w:rsid w:val="00F70F14"/>
    <w:rsid w:val="00FB5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D6B3-070F-4288-8488-254DC1DB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80"/>
    <w:pPr>
      <w:suppressAutoHyphens/>
      <w:spacing w:after="120" w:line="240" w:lineRule="auto"/>
      <w:ind w:firstLine="709"/>
      <w:jc w:val="both"/>
    </w:pPr>
    <w:rPr>
      <w:rFonts w:ascii="Times New Roman" w:hAnsi="Times New Roman" w:cs="Times New Roman"/>
      <w:position w:val="6"/>
      <w:sz w:val="24"/>
      <w:szCs w:val="20"/>
      <w:lang w:eastAsia="ar-SA"/>
    </w:rPr>
  </w:style>
  <w:style w:type="paragraph" w:styleId="Ttulo5">
    <w:name w:val="heading 5"/>
    <w:basedOn w:val="Normal"/>
    <w:next w:val="Normal"/>
    <w:link w:val="Ttulo5Car"/>
    <w:uiPriority w:val="2"/>
    <w:unhideWhenUsed/>
    <w:qFormat/>
    <w:rsid w:val="0077298E"/>
    <w:pPr>
      <w:suppressAutoHyphens w:val="0"/>
      <w:spacing w:line="23" w:lineRule="atLeast"/>
      <w:ind w:firstLine="0"/>
      <w:outlineLvl w:val="4"/>
    </w:pPr>
    <w:rPr>
      <w:rFonts w:ascii="Arial" w:eastAsia="Calibri" w:hAnsi="Arial"/>
      <w:position w:val="0"/>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bis,Texto nota pie Car Car,Texto nota pie Car Car Car Car Car Car Car Car Car Car Car Car Car Car,Texto nota pie Car Car Car Car Car Car Car Car Car Car Car Car Car Car Car Car Car Car Car Car Car,Ref. de nota al pie1"/>
    <w:basedOn w:val="Normal"/>
    <w:link w:val="TextonotapieCar"/>
    <w:unhideWhenUsed/>
    <w:qFormat/>
    <w:rsid w:val="00FB5B0D"/>
    <w:pPr>
      <w:suppressAutoHyphens w:val="0"/>
      <w:spacing w:after="0"/>
      <w:ind w:firstLine="0"/>
      <w:jc w:val="left"/>
    </w:pPr>
    <w:rPr>
      <w:rFonts w:ascii="Microsoft Sans Serif" w:eastAsia="Calibri" w:hAnsi="Microsoft Sans Serif"/>
      <w:position w:val="0"/>
      <w:sz w:val="20"/>
      <w:lang w:eastAsia="en-US"/>
    </w:rPr>
  </w:style>
  <w:style w:type="character" w:customStyle="1" w:styleId="TextonotapieCar">
    <w:name w:val="Texto nota pie Car"/>
    <w:aliases w:val="Texto nota pie bis Car,Texto nota pie Car Car Car,Texto nota pie Car Car Car Car Car Car Car Car Car Car Car Car Car Car Car,Texto nota pie Car Car Car Car Car Car Car Car Car Car Car Car Car Car Car Car Car Car Car Car Car Car"/>
    <w:basedOn w:val="Fuentedeprrafopredeter"/>
    <w:link w:val="Textonotapie"/>
    <w:uiPriority w:val="99"/>
    <w:rsid w:val="00FB5B0D"/>
    <w:rPr>
      <w:rFonts w:ascii="Microsoft Sans Serif" w:eastAsia="Calibri" w:hAnsi="Microsoft Sans Serif" w:cs="Times New Roman"/>
      <w:sz w:val="20"/>
      <w:szCs w:val="20"/>
    </w:rPr>
  </w:style>
  <w:style w:type="character" w:styleId="Refdenotaalpie">
    <w:name w:val="footnote reference"/>
    <w:unhideWhenUsed/>
    <w:qFormat/>
    <w:rsid w:val="00FB5B0D"/>
    <w:rPr>
      <w:vertAlign w:val="superscript"/>
    </w:rPr>
  </w:style>
  <w:style w:type="character" w:customStyle="1" w:styleId="Ttulo5Car">
    <w:name w:val="Título 5 Car"/>
    <w:basedOn w:val="Fuentedeprrafopredeter"/>
    <w:link w:val="Ttulo5"/>
    <w:uiPriority w:val="2"/>
    <w:rsid w:val="0077298E"/>
    <w:rPr>
      <w:rFonts w:ascii="Arial" w:eastAsia="Calibri" w:hAnsi="Arial" w:cs="Times New Roman"/>
      <w:sz w:val="24"/>
      <w:szCs w:val="24"/>
    </w:rPr>
  </w:style>
  <w:style w:type="character" w:styleId="Hipervnculo">
    <w:name w:val="Hyperlink"/>
    <w:basedOn w:val="Fuentedeprrafopredeter"/>
    <w:uiPriority w:val="99"/>
    <w:unhideWhenUsed/>
    <w:rsid w:val="0077298E"/>
    <w:rPr>
      <w:color w:val="0000FF"/>
      <w:u w:val="single"/>
    </w:rPr>
  </w:style>
  <w:style w:type="paragraph" w:styleId="NormalWeb">
    <w:name w:val="Normal (Web)"/>
    <w:basedOn w:val="Normal"/>
    <w:uiPriority w:val="99"/>
    <w:unhideWhenUsed/>
    <w:rsid w:val="0077298E"/>
    <w:pPr>
      <w:suppressAutoHyphens w:val="0"/>
      <w:spacing w:before="100" w:beforeAutospacing="1" w:after="100" w:afterAutospacing="1"/>
      <w:ind w:firstLine="0"/>
      <w:jc w:val="left"/>
    </w:pPr>
    <w:rPr>
      <w:rFonts w:eastAsia="Times New Roman"/>
      <w:position w:val="0"/>
      <w:szCs w:val="24"/>
      <w:lang w:eastAsia="es-ES"/>
    </w:rPr>
  </w:style>
  <w:style w:type="paragraph" w:styleId="Textodeglobo">
    <w:name w:val="Balloon Text"/>
    <w:basedOn w:val="Normal"/>
    <w:link w:val="TextodegloboCar"/>
    <w:uiPriority w:val="99"/>
    <w:semiHidden/>
    <w:unhideWhenUsed/>
    <w:rsid w:val="00530FF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FFE"/>
    <w:rPr>
      <w:rFonts w:ascii="Segoe UI" w:hAnsi="Segoe UI" w:cs="Segoe UI"/>
      <w:position w:val="6"/>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4CBD7-685C-4BC7-8A46-C5164F45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2449</Words>
  <Characters>12761</Characters>
  <Application>Microsoft Office Word</Application>
  <DocSecurity>0</DocSecurity>
  <Lines>190</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dc:creator>
  <cp:lastModifiedBy>UM</cp:lastModifiedBy>
  <cp:revision>2</cp:revision>
  <cp:lastPrinted>2021-02-15T12:18:00Z</cp:lastPrinted>
  <dcterms:created xsi:type="dcterms:W3CDTF">2021-02-15T20:28:00Z</dcterms:created>
  <dcterms:modified xsi:type="dcterms:W3CDTF">2021-02-15T20:28:00Z</dcterms:modified>
</cp:coreProperties>
</file>